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Zentrales Sicherheitsstromversorgungssystem MC ohne Leistungsbegrenzung gem. </w:t>
      </w:r>
    </w:p>
    <w:p>
      <w:pPr/>
      <w:r>
        <w:rPr/>
        <w:t xml:space="preserve">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Überwachungs-baustein ohne zusätzliche Datenleitung. </w:t>
      </w:r>
    </w:p>
    <w:p>
      <w:pPr/>
      <w:r>
        <w:rPr/>
        <w:t xml:space="preserve">Nennbetriebsdauer *: 1h; 3h; 8h * Zutreffendes bitte unterstreichen! </w:t>
      </w:r>
    </w:p>
    <w:p>
      <w:pPr/>
      <w:r>
        <w:rPr/>
        <w:t xml:space="preserve">Wiederaufladezeit: 12 h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60 variablen Stromkreisbaugruppen, max. 3 Stück Ladebaugruppe (à 2,5A).</w:t>
      </w:r>
    </w:p>
    <w:p>
      <w:pPr/>
      <w:r>
        <w:rPr/>
        <w:t xml:space="preserve">Lasttrennschalter (D02) für Netz- und Batterieeinspeisung (Neozed D02), Anschlussquerschnitt standardmäßig 16 mm².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inkl. 50 mm Sockel, für bis zu 18 Stück OGIV-Batterien max. 110 Ah</w:t>
      </w:r>
    </w:p>
    <w:p>
      <w:pPr/>
      <w:r>
        <w:rPr/>
        <w:t xml:space="preserve">Abmessungen:	H=1850 mm, B=800 mm, T=600 mm</w:t>
      </w:r>
    </w:p>
    <w:p>
      <w:pPr/>
      <w:r>
        <w:rPr/>
        <w:t xml:space="preserve">Schutzart:		Elektronikschrank IP 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2024-07-10T12:26:10+02:00</dcterms:created>
  <dcterms:modified xsi:type="dcterms:W3CDTF">2024-07-10T12:26:10+02:00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