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miniControl XL plus</w:t>
      </w:r>
    </w:p>
    <w:p>
      <w:pPr/>
      <w:r>
        <w:rPr/>
        <w:t xml:space="preserve">Zentrales Sicherheitsstromversorgungssystem MC mit begrenzter Leistung (LPS) gem. EN 50171 und BGV A3 zur Versorgung von Sicherheits- und Rettungszeichen-leuchten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mit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/ maximale Anschlussleistung: </w:t>
      </w:r>
    </w:p>
    <w:p>
      <w:pPr/>
      <w:r>
        <w:rPr/>
        <w:t xml:space="preserve">○	1h / max. 1500 W</w:t>
      </w:r>
    </w:p>
    <w:p>
      <w:pPr/>
      <w:r>
        <w:rPr/>
        <w:t xml:space="preserve">○	3h / max. 500 W</w:t>
      </w:r>
    </w:p>
    <w:p>
      <w:pPr/>
      <w:r>
        <w:rPr/>
        <w:t xml:space="preserve">○	8h / max. 300 W</w:t>
      </w:r>
    </w:p>
    <w:p>
      <w:pPr/>
      <w:r>
        <w:rPr/>
        <w:t xml:space="preserve"> </w:t>
      </w:r>
    </w:p>
    <w:p>
      <w:pPr/>
      <w:r>
        <w:rPr/>
        <w:t xml:space="preserve">Wiederaufladezeit: 12 h</w:t>
      </w:r>
    </w:p>
    <w:p>
      <w:pPr/>
      <w:r>
        <w:rPr/>
        <w:t xml:space="preserve"> </w:t>
      </w:r>
    </w:p>
    <w:p>
      <w:pPr/>
      <w:r>
        <w:rPr/>
        <w:t xml:space="preserve">bestehend aus:</w:t>
      </w:r>
    </w:p>
    <w:p>
      <w:pPr/>
      <w:r>
        <w:rPr/>
        <w:t xml:space="preserve"> </w:t>
      </w:r>
    </w:p>
    <w:p>
      <w:pPr/>
      <w:r>
        <w:rPr/>
        <w:t xml:space="preserve">Mikroprozessor Steuerteil mit DB25-Centronics-Druckerschnittstelle sowie integriertem IO-Modul zur Weitermeldung von Betriebszuständen und Fernauslösung von Funktionstests und der Notlichtblockierung.</w:t>
      </w:r>
    </w:p>
    <w:p>
      <w:pPr/>
      <w:r>
        <w:rPr/>
        <w:t xml:space="preserve">Ladeeinrichtung mit mikroprozessorgesteuerter Ladung zur normgerechten Aufladung der Batterie.</w:t>
      </w:r>
    </w:p>
    <w:p>
      <w:pPr/>
      <w:r>
        <w:rPr/>
        <w:t xml:space="preserve"> </w:t>
      </w:r>
    </w:p>
    <w:p>
      <w:pPr/>
      <w:r>
        <w:rPr/>
        <w:t xml:space="preserve">Für die Aufnahme von bis zu max. 16 variablen Stromkreisbaugruppen Typ DCM mit je 2 Stromkreisen, sowie maximal eine Ladebaugruppe 1,0A.</w:t>
      </w:r>
    </w:p>
    <w:p>
      <w:pPr/>
      <w:r>
        <w:rPr/>
        <w:t xml:space="preserve"> </w:t>
      </w:r>
    </w:p>
    <w:p>
      <w:pPr/>
      <w:r>
        <w:rPr/>
        <w:t xml:space="preserve">Stahlblech-Kombischrank, mit partiell abgeschotteten Elektronik- und Batteriefach für bis zu 18 Stück OGIV-Batterien, max. 17 Ah</w:t>
      </w:r>
    </w:p>
    <w:p>
      <w:pPr/>
      <w:r>
        <w:rPr/>
        <w:t xml:space="preserve"> </w:t>
      </w:r>
    </w:p>
    <w:p>
      <w:pPr/>
      <w:r>
        <w:rPr/>
        <w:t xml:space="preserve">Abmessungen:	H=1470 mm, B=571 mm, T=230 mm</w:t>
      </w:r>
    </w:p>
    <w:p>
      <w:pPr/>
      <w:r>
        <w:rPr/>
        <w:t xml:space="preserve">Schutzart:		Elektronikschrank IP 20, Schutzklasse I</w:t>
      </w:r>
    </w:p>
    <w:p>
      <w:pPr/>
      <w:r>
        <w:rPr/>
        <w:t xml:space="preserve">			        inkl. Wandbefestigung</w:t>
      </w:r>
    </w:p>
    <w:p>
      <w:pPr/>
      <w:r>
        <w:rPr/>
        <w:t xml:space="preserve">Kabeleinführung:	Standard von oben</w:t>
      </w:r>
    </w:p>
    <w:p>
      <w:pPr/>
      <w:r>
        <w:rPr/>
        <w:t xml:space="preserve">Außenlackierung: Struktur Pulverlack</w:t>
      </w:r>
    </w:p>
    <w:p>
      <w:pPr/>
      <w:r>
        <w:rPr/>
        <w:t xml:space="preserve">Farbton:		         RAL 7035 lichtgrau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2024-07-11T07:38:50+02:00</dcterms:created>
  <dcterms:modified xsi:type="dcterms:W3CDTF">2024-07-11T07:38:50+02:00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