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LED-Decken- und Wandleuchte, Serie MAVS. Gehäuse aus Aluminium, weiß, pulverbeschichtet. Diffusor Kunststoff (PMMA) opal, UV-stabilisiert. Betriebsgerät schaltbar oder DALI dimmbar, integriert. Ausführung mit Casambi Bluetooth Steuerung verfügbar. DC tauglich.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59 mm</w:t>
      </w:r>
    </w:p>
    <w:p>
      <w:pPr/>
      <w:r>
        <w:rPr/>
        <w:t xml:space="preserve">label.zuordnungsspeicher.Height: 79 mm</w:t>
      </w:r>
    </w:p>
    <w:p>
      <w:pPr/>
      <w:r>
        <w:rPr/>
        <w:t xml:space="preserve">label.zuordnungsspeicher.Length: 570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118 mm</w:t>
      </w:r>
    </w:p>
    <w:p>
      <w:pPr/>
      <w:r>
        <w:rPr/>
        <w:t xml:space="preserve">label.zuordnungsspeicher.Height: 75 mm</w:t>
      </w:r>
    </w:p>
    <w:p>
      <w:pPr/>
      <w:r>
        <w:rPr/>
        <w:t xml:space="preserve">label.zuordnungsspeicher.Length: 690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40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17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1800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26.2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2024-10-11T15:35:52+02:00</dcterms:created>
  <dcterms:modified xsi:type="dcterms:W3CDTF">2024-10-11T15:35:52+02:00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