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241.5 mm x 152.2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2,8 W W</w:t>
      </w:r>
    </w:p>
    <w:p>
      <w:pPr/>
      <w:r>
        <w:rPr/>
        <w:t xml:space="preserve">Leistung Bereitschaftsbetrieb: 0,4 W W</w:t>
      </w:r>
    </w:p>
    <w:p>
      <w:pPr/>
      <w:r>
        <w:rPr/>
        <w:t xml:space="preserve">Lichtstrom Notbetrieb: 165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GAMW509CC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88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2024-10-11T15:53:23+02:00</dcterms:created>
  <dcterms:modified xsi:type="dcterms:W3CDTF">2024-10-11T15:53:23+02:00</dcterms:modified>
</cp:coreProperties>
</file>

<file path=docProps/custom.xml><?xml version="1.0" encoding="utf-8"?>
<Properties xmlns="http://schemas.openxmlformats.org/officeDocument/2006/custom-properties" xmlns:vt="http://schemas.openxmlformats.org/officeDocument/2006/docPropsVTypes"/>
</file>