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34 mm x 250 mm x 174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~lbl-lv-erkennungsweite: 22m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~lbl-lv-LeistungDauerbetrieb: 3,9 W W</w:t>
      </w:r>
    </w:p>
    <w:p>
      <w:pPr/>
      <w:r>
        <w:rPr/>
        <w:t xml:space="preserve">~lbl-lv-LeistungBereitschaftsbetrieb: 1,5 W W</w:t>
      </w:r>
    </w:p>
    <w:p>
      <w:pPr/>
      <w:r>
        <w:rPr/>
        <w:t xml:space="preserve">~lbl-lv-LichtstromNotbetrieb: 85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LFP3233.01, {{Produkt - BatteryPerformance - BatteryTechnology (P:17:110)}} Battery</w:t>
      </w:r>
    </w:p>
    <w:p>
      <w:pPr/>
    </w:p>
    <w:p>
      <w:pPr/>
      <w:r>
        <w:rPr/>
        <w:t xml:space="preserve">lbl-articleNumber: KSU018WB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84F2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2024-07-02T11:39:16+02:00</dcterms:created>
  <dcterms:modified xsi:type="dcterms:W3CDTF">2024-07-02T11:39:16+02:00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