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double installation boxes. The zinc die-cast lens locks into place without any visible external fastening. The status LED integrated in the lens blends into the harmony of the housing.</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Zinc die-cast</w:t>
      </w:r>
    </w:p>
    <w:p>
      <w:pPr/>
      <w:r>
        <w:rPr/>
        <w:t xml:space="preserve">Color: Edelstahl</w:t>
      </w:r>
    </w:p>
    <w:p>
      <w:pPr/>
      <w:r>
        <w:rPr/>
        <w:t xml:space="preserve">Dimensions: 20 mm x 161 mm x 107 mm</w:t>
      </w:r>
    </w:p>
    <w:p>
      <w:pPr/>
    </w:p>
    <w:p>
      <w:pPr/>
      <w:r>
        <w:rPr/>
        <w:t xml:space="preserve">Mounting method: Wandeinbau</w:t>
      </w:r>
    </w:p>
    <w:p>
      <w:pPr/>
      <w:r>
        <w:rPr/>
        <w:t xml:space="preserve">Protection class: 3</w:t>
      </w:r>
    </w:p>
    <w:p>
      <w:pPr/>
      <w:r>
        <w:rPr/>
        <w:t xml:space="preserve">Protection rating (IP): IP 20</w:t>
      </w:r>
    </w:p>
    <w:p>
      <w:pPr/>
      <w:r>
        <w:rPr/>
        <w:t xml:space="preserve">Impact restistence rate IK: IK 7</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3,3 W W</w:t>
      </w:r>
    </w:p>
    <w:p>
      <w:pPr/>
      <w:r>
        <w:rPr/>
        <w:t xml:space="preserve">Power non-maintained mode: 0,4 W W</w:t>
      </w:r>
    </w:p>
    <w:p>
      <w:pPr/>
      <w:r>
        <w:rPr/>
        <w:t xml:space="preserve">Luminous Flux Emergency Operation: 420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WEF529CC-E</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10618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2026-09-16T17:23:14+02:00</dcterms:created>
  <dcterms:modified xsi:type="dcterms:W3CDTF">2026-09-16T17:23:14+02:00</dcterms:modified>
</cp:coreProperties>
</file>

<file path=docProps/custom.xml><?xml version="1.0" encoding="utf-8"?>
<Properties xmlns="http://schemas.openxmlformats.org/officeDocument/2006/custom-properties" xmlns:vt="http://schemas.openxmlformats.org/officeDocument/2006/docPropsVTypes"/>
</file>