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Plastic</w:t>
      </w:r>
    </w:p>
    <w:p>
      <w:pPr/>
      <w:r>
        <w:rPr/>
        <w:t xml:space="preserve">Color: RAL 9003</w:t>
      </w:r>
    </w:p>
    <w:p>
      <w:pPr/>
      <w:r>
        <w:rPr/>
        <w:t xml:space="preserve">Dimensions: 326 mm x 50 mm x 248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64</w:t>
      </w:r>
    </w:p>
    <w:p>
      <w:pPr/>
      <w:r>
        <w:rPr/>
        <w:t xml:space="preserve">Impact restistence rate IK: IK 7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Battery</w:t>
      </w:r>
    </w:p>
    <w:p>
      <w:pPr/>
    </w:p>
    <w:p>
      <w:pPr/>
      <w:r>
        <w:rPr/>
        <w:t xml:space="preserve">Article number: KAXU408WL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467A47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2024-07-10T16:58:51+02:00</dcterms:created>
  <dcterms:modified xsi:type="dcterms:W3CDTF">2024-07-10T16:58:51+02:00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