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0,9 W W</w:t>
      </w:r>
    </w:p>
    <w:p>
      <w:pPr/>
      <w:r>
        <w:rPr/>
        <w:t xml:space="preserve">Luminous Flux Emergency Operation: 520 lm lm</w:t>
      </w:r>
    </w:p>
    <w:p>
      <w:pPr/>
    </w:p>
    <w:p>
      <w:pPr/>
    </w:p>
    <w:p>
      <w:pPr/>
      <w:r>
        <w:rPr/>
        <w:t xml:space="preserve">Battery: LFP3216-SET-2AKKU</w:t>
      </w:r>
    </w:p>
    <w:p>
      <w:pPr/>
    </w:p>
    <w:p>
      <w:pPr/>
      <w:r>
        <w:rPr/>
        <w:t xml:space="preserve">Article number: KWIW421SC</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3CE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2024-07-10T11:49:40+02:00</dcterms:created>
  <dcterms:modified xsi:type="dcterms:W3CDTF">2024-07-10T11:49:40+02:00</dcterms:modified>
</cp:coreProperties>
</file>

<file path=docProps/custom.xml><?xml version="1.0" encoding="utf-8"?>
<Properties xmlns="http://schemas.openxmlformats.org/officeDocument/2006/custom-properties" xmlns:vt="http://schemas.openxmlformats.org/officeDocument/2006/docPropsVTypes"/>
</file>