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DIN EN 60598-1, DIN EN 60598-2-22 et DIN EN 1838. </w:t>
      </w:r>
      <w:br/>
      <w:br/>
      <w:r>
        <w:rPr/>
        <w:t xml:space="preserve">Luminaire de sécurité pour le montage dans des boîtes doubles d'installation conventionnelles. Le bandeau en zinc moulé sous pression est bloqué sans fixation visible de l'extérieur. La LED d'état intégrée dans la lentille s'intègre dans l'harmonie du boîtier.</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pouvant atteindre 14m.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RAL 9003</w:t>
      </w:r>
    </w:p>
    <w:p>
      <w:pPr/>
      <w:r>
        <w:rPr/>
        <w:t xml:space="preserve">Dimensions: 166 mm x 21 mm x 106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7</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0 W W</w:t>
      </w:r>
    </w:p>
    <w:p>
      <w:pPr/>
      <w:r>
        <w:rPr/>
        <w:t xml:space="preserve">Flux lumineux en mode de secours: 420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WEF029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2026-09-16T17:23:21+02:00</dcterms:created>
  <dcterms:modified xsi:type="dcterms:W3CDTF">2026-09-16T17:23:21+02:00</dcterms:modified>
</cp:coreProperties>
</file>

<file path=docProps/custom.xml><?xml version="1.0" encoding="utf-8"?>
<Properties xmlns="http://schemas.openxmlformats.org/officeDocument/2006/custom-properties" xmlns:vt="http://schemas.openxmlformats.org/officeDocument/2006/docPropsVTypes"/>
</file>