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Zinc moulé sous pression</w:t>
      </w:r>
    </w:p>
    <w:p>
      <w:pPr/>
      <w:r>
        <w:rPr/>
        <w:t xml:space="preserve">Couleur: RAL 9003</w:t>
      </w:r>
    </w:p>
    <w:p>
      <w:pPr/>
      <w:r>
        <w:rPr/>
        <w:t xml:space="preserve">Dimensions: 52 mm x 236 mm x 138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21m m</w:t>
      </w:r>
    </w:p>
    <w:p>
      <w:pPr/>
      <w:r>
        <w:rPr/>
        <w:t xml:space="preserve">Pictogramme: Set</w:t>
      </w:r>
    </w:p>
    <w:p>
      <w:pPr/>
    </w:p>
    <w:p>
      <w:pPr/>
      <w:r>
        <w:rPr/>
        <w:t xml:space="preserve">Puissance en mode continu: 3,9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MMD009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2024-10-11T15:14:00+02:00</dcterms:created>
  <dcterms:modified xsi:type="dcterms:W3CDTF">2024-10-11T15:14:00+02:00</dcterms:modified>
</cp:coreProperties>
</file>

<file path=docProps/custom.xml><?xml version="1.0" encoding="utf-8"?>
<Properties xmlns="http://schemas.openxmlformats.org/officeDocument/2006/custom-properties" xmlns:vt="http://schemas.openxmlformats.org/officeDocument/2006/docPropsVTypes"/>
</file>