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Aluminium moulé sous pression,Polycarbonate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66</w:t>
      </w:r>
    </w:p>
    <w:p>
      <w:pPr/>
      <w:r>
        <w:rPr/>
        <w:t xml:space="preserve">lbl-impactResistanceRate: IK 5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40 W W</w:t>
      </w:r>
    </w:p>
    <w:p>
      <w:pPr/>
      <w:r>
        <w:rPr/>
        <w:t xml:space="preserve">Flux lumineux en mode de secours: 4600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XPMU019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lbl-articleNumber: X-KO001,  </w:t>
      </w:r>
    </w:p>
    <w:p>
      <w:pPr/>
      <w:r>
        <w:rPr/>
        <w:t xml:space="preserve">lbl-articleNumber: X-MB001,  </w:t>
      </w:r>
    </w:p>
    <w:p>
      <w:pPr/>
      <w:r>
        <w:rPr/>
        <w:t xml:space="preserve">lbl-articleNumber: X-KE001,  </w:t>
      </w:r>
    </w:p>
    <w:p>
      <w:pPr/>
      <w:r>
        <w:rPr/>
        <w:t xml:space="preserve">lbl-articleNumber: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2024-07-09T08:40:03+02:00</dcterms:created>
  <dcterms:modified xsi:type="dcterms:W3CDTF">2024-07-09T08:40:03+02:00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