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78 mm x 390 mm x 220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43</w:t>
      </w:r>
    </w:p>
    <w:p>
      <w:pPr/>
      <w:r>
        <w:rPr/>
        <w:t xml:space="preserve">lbl-impactResistanceRate: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34m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7,5 W W</w:t>
      </w:r>
    </w:p>
    <w:p>
      <w:pPr/>
      <w:r>
        <w:rPr/>
        <w:t xml:space="preserve">Puissance en mode veille: 3,6 W W</w:t>
      </w:r>
    </w:p>
    <w:p>
      <w:pPr/>
      <w:r>
        <w:rPr/>
        <w:t xml:space="preserve">Flux lumineux en mode de secours: 150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lbl-articleNumber: KLU013WLSE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lbl-articleNumber: DSA, </w:t>
      </w:r>
    </w:p>
    <w:p>
      <w:pPr/>
      <w:r>
        <w:rPr/>
        <w:t xml:space="preserve">lbl-articleNumber: BALL2, 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89E1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2024-07-05T13:14:48+02:00</dcterms:created>
  <dcterms:modified xsi:type="dcterms:W3CDTF">2024-07-05T13:14:48+02:00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