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lbl-mountingMethod: Wandeinbau</w:t>
      </w:r>
    </w:p>
    <w:p>
      <w:pPr/>
      <w:r>
        <w:rPr/>
        <w:t xml:space="preserve">lbl-protectionClass: 2</w:t>
      </w:r>
    </w:p>
    <w:p>
      <w:pPr/>
      <w:r>
        <w:rPr/>
        <w:t xml:space="preserve">lbl-protectionRating: IP 40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AXRA408WL-AZ</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CB9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2024-07-08T18:21:21+02:00</dcterms:created>
  <dcterms:modified xsi:type="dcterms:W3CDTF">2024-07-08T18:21:21+02:00</dcterms:modified>
</cp:coreProperties>
</file>

<file path=docProps/custom.xml><?xml version="1.0" encoding="utf-8"?>
<Properties xmlns="http://schemas.openxmlformats.org/officeDocument/2006/custom-properties" xmlns:vt="http://schemas.openxmlformats.org/officeDocument/2006/docPropsVTypes"/>
</file>