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Matériau: Zinc moulé sous pression</w:t>
      </w:r>
    </w:p>
    <w:p>
      <w:pPr/>
      <w:r>
        <w:rPr/>
        <w:t xml:space="preserve">Couleur: RAL 9003</w:t>
      </w:r>
    </w:p>
    <w:p>
      <w:pPr/>
      <w:r>
        <w:rPr/>
        <w:t xml:space="preserve">Dimensions: 55 mm x 193 mm x 120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1,7 W W</w:t>
      </w:r>
    </w:p>
    <w:p>
      <w:pPr/>
      <w:r>
        <w:rPr/>
        <w:t xml:space="preserve">Puissance en mode veille: 0,4 W W</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AIE509CC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2024-07-10T12:50:16+02:00</dcterms:created>
  <dcterms:modified xsi:type="dcterms:W3CDTF">2024-07-10T12:50:16+02:00</dcterms:modified>
</cp:coreProperties>
</file>

<file path=docProps/custom.xml><?xml version="1.0" encoding="utf-8"?>
<Properties xmlns="http://schemas.openxmlformats.org/officeDocument/2006/custom-properties" xmlns:vt="http://schemas.openxmlformats.org/officeDocument/2006/docPropsVTypes"/>
</file>