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3</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2,8 W W</w:t>
      </w:r>
    </w:p>
    <w:p>
      <w:pPr/>
      <w:r>
        <w:rPr/>
        <w:t xml:space="preserve">Puissance en mode veille: 0,4 W W</w:t>
      </w:r>
    </w:p>
    <w:p>
      <w:pPr/>
      <w:r>
        <w:rPr/>
        <w:t xml:space="preserve">Flux lumineux en mode de secours: 240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EARL529CC</w:t>
      </w:r>
    </w:p>
    <w:p>
      <w:pPr/>
    </w:p>
    <w:p>
      <w:pPr/>
      <w:r>
        <w:rPr/>
        <w:t xml:space="preserve">Accessoires:</w:t>
      </w:r>
    </w:p>
    <w:p>
      <w:pPr/>
      <w:r>
        <w:rPr/>
        <w:t xml:space="preserve">Numéro d'article: ILD-APA-02,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2026-09-16T17:37:08+02:00</dcterms:created>
  <dcterms:modified xsi:type="dcterms:W3CDTF">2026-09-16T17:37:08+02:00</dcterms:modified>
</cp:coreProperties>
</file>

<file path=docProps/custom.xml><?xml version="1.0" encoding="utf-8"?>
<Properties xmlns="http://schemas.openxmlformats.org/officeDocument/2006/custom-properties" xmlns:vt="http://schemas.openxmlformats.org/officeDocument/2006/docPropsVTypes"/>
</file>