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Matériau: Zinc moulé sous pression</w:t>
      </w:r>
    </w:p>
    <w:p>
      <w:pPr/>
      <w:r>
        <w:rPr/>
        <w:t xml:space="preserve">Couleur: RAL 9003</w:t>
      </w:r>
    </w:p>
    <w:p>
      <w:pPr/>
      <w:r>
        <w:rPr/>
        <w:t xml:space="preserve">Dimensions: 166 mm x 21 mm x 106 mm</w:t>
      </w:r>
    </w:p>
    <w:p>
      <w:pPr/>
      <w:r>
        <w:rPr/>
        <w:t xml:space="preserve">Diamètre:  mm</w:t>
      </w:r>
    </w:p>
    <w:p>
      <w:pPr/>
    </w:p>
    <w:p>
      <w:pPr/>
      <w:r>
        <w:rPr/>
        <w:t xml:space="preserve">lbl-mountingMethod: Wandeinbau</w:t>
      </w:r>
    </w:p>
    <w:p>
      <w:pPr/>
      <w:r>
        <w:rPr/>
        <w:t xml:space="preserve">lbl-protectionClass: 3</w:t>
      </w:r>
    </w:p>
    <w:p>
      <w:pPr/>
      <w:r>
        <w:rPr/>
        <w:t xml:space="preserve">lbl-protectionRating: IP 20</w:t>
      </w:r>
    </w:p>
    <w:p>
      <w:pPr/>
      <w:r>
        <w:rPr/>
        <w:t xml:space="preserve">lbl-impactResistanceRate: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3,3 W W</w:t>
      </w:r>
    </w:p>
    <w:p>
      <w:pPr/>
      <w:r>
        <w:rPr/>
        <w:t xml:space="preserve">Puissance en mode veille: 0,4 W W</w:t>
      </w:r>
    </w:p>
    <w:p>
      <w:pPr/>
      <w:r>
        <w:rPr/>
        <w:t xml:space="preserve">Flux lumineux en mode de secours: 420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lbl-articleNumber: WEF529CC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2024-07-08T11:55:39+02:00</dcterms:created>
  <dcterms:modified xsi:type="dcterms:W3CDTF">2024-07-08T11:55:39+02:00</dcterms:modified>
</cp:coreProperties>
</file>

<file path=docProps/custom.xml><?xml version="1.0" encoding="utf-8"?>
<Properties xmlns="http://schemas.openxmlformats.org/officeDocument/2006/custom-properties" xmlns:vt="http://schemas.openxmlformats.org/officeDocument/2006/docPropsVTypes"/>
</file>