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Pictogramme protégé à l'intérieur</w:t>
      </w:r>
      <w:br/>
      <w:br/>
      <w:r>
        <w:rPr/>
        <w:t xml:space="preserve">Convient pour une utilisation permanente ou en mode veille. Sécurité de planification grâce à une utilisation variable des pictogrammes sur place. Pictogrammes conformes aux normes DIN EN ISO 7010 et DIN ISO 3864 (gauche, droite, haut, bas) inclus en standard dans la livraison.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Distance de reconnaissance: 20m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2,8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FMW509CC-AZ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FMFH, </w:t>
      </w:r>
    </w:p>
    <w:p>
      <w:pPr/>
      <w:r>
        <w:rPr/>
        <w:t xml:space="preserve">Numéro d'article: FMDA002,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2026-09-16T18:37:58+02:00</dcterms:created>
  <dcterms:modified xsi:type="dcterms:W3CDTF">2026-09-16T18:37:58+02:00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