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5,1 W W</w:t>
      </w:r>
    </w:p>
    <w:p>
      <w:pPr/>
      <w:r>
        <w:rPr/>
        <w:t xml:space="preserve">Puissance en mode veille: 0,4 W W</w:t>
      </w:r>
    </w:p>
    <w:p>
      <w:pPr/>
      <w:r>
        <w:rPr/>
        <w:t xml:space="preserve">Flux lumineux en mode de secours: 520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PMW529CC</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2026-09-16T19:13:25+02:00</dcterms:created>
  <dcterms:modified xsi:type="dcterms:W3CDTF">2026-09-16T19:13:25+02:00</dcterms:modified>
</cp:coreProperties>
</file>

<file path=docProps/custom.xml><?xml version="1.0" encoding="utf-8"?>
<Properties xmlns="http://schemas.openxmlformats.org/officeDocument/2006/custom-properties" xmlns:vt="http://schemas.openxmlformats.org/officeDocument/2006/docPropsVTypes"/>
</file>