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r>
        <w:rPr/>
        <w:t xml:space="preserve">Diamètre:  mm</w:t>
      </w:r>
    </w:p>
    <w:p>
      <w:pPr/>
    </w:p>
    <w:p>
      <w:pPr/>
      <w:r>
        <w:rPr/>
        <w:t xml:space="preserve">Type de montage: Universal</w:t>
      </w:r>
    </w:p>
    <w:p>
      <w:pPr/>
      <w:r>
        <w:rPr/>
        <w:t xml:space="preserve">Classe de protection: 2</w:t>
      </w:r>
    </w:p>
    <w:p>
      <w:pPr/>
      <w:r>
        <w:rPr/>
        <w:t xml:space="preserve">Indice de protection (IP): IP 64</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Numéro d'article: KBU411SC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56E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2024-09-04T09:23:56+02:00</dcterms:created>
  <dcterms:modified xsi:type="dcterms:W3CDTF">2024-09-04T09:23:56+02:00</dcterms:modified>
</cp:coreProperties>
</file>

<file path=docProps/custom.xml><?xml version="1.0" encoding="utf-8"?>
<Properties xmlns="http://schemas.openxmlformats.org/officeDocument/2006/custom-properties" xmlns:vt="http://schemas.openxmlformats.org/officeDocument/2006/docPropsVTypes"/>
</file>