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300 mm x 300 mm x 110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4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Einzeln n.A.</w:t>
      </w:r>
    </w:p>
    <w:p>
      <w:pPr/>
    </w:p>
    <w:p>
      <w:pPr/>
      <w:r>
        <w:rPr/>
        <w:t xml:space="preserve">Puissance en mode continu: 5,6 W W</w:t>
      </w:r>
    </w:p>
    <w:p>
      <w:pPr/>
      <w:r>
        <w:rPr/>
        <w:t xml:space="preserve">Puissance en mode veille: 0,9 W W</w:t>
      </w:r>
    </w:p>
    <w:p>
      <w:pPr/>
    </w:p>
    <w:p>
      <w:pPr/>
    </w:p>
    <w:p>
      <w:pPr/>
      <w:r>
        <w:rPr/>
        <w:t xml:space="preserve">Batterie: LFP3216-SET-2AKKU</w:t>
      </w:r>
    </w:p>
    <w:p>
      <w:pPr/>
    </w:p>
    <w:p>
      <w:pPr/>
      <w:r>
        <w:rPr/>
        <w:t xml:space="preserve">Numéro d'article: WFXW411SC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LFP3216-SET-2AKKU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51747D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2024-10-11T15:49:38+02:00</dcterms:created>
  <dcterms:modified xsi:type="dcterms:W3CDTF">2024-10-11T15:49:38+02:00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