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54mm x 277mm x 184mm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-5°C à 40°C °C</w:t>
      </w:r>
    </w:p>
    <w:p>
      <w:pPr/>
      <w:r>
        <w:rPr/>
        <w:t xml:space="preserve">Température permise en mode veille: -5°C à 40°C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3,3W W</w:t>
      </w:r>
    </w:p>
    <w:p>
      <w:pPr/>
      <w:r>
        <w:rPr/>
        <w:t xml:space="preserve">Puissance en mode veille: 1W W</w:t>
      </w:r>
    </w:p>
    <w:p>
      <w:pPr/>
      <w:r>
        <w:rPr/>
        <w:t xml:space="preserve">Flux lumineux en mode de secours: 95lm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2.5mm²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6D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2026-06-16T15:59:22+02:00</dcterms:created>
  <dcterms:modified xsi:type="dcterms:W3CDTF">2026-06-16T15:59:22+02:00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