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237 mm x 237 mm x 237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3,9 W W</w:t>
      </w:r>
    </w:p>
    <w:p>
      <w:pPr/>
      <w:r>
        <w:rPr/>
        <w:t xml:space="preserve">Puissance en mode veille: 2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WGW418SC</w:t>
      </w:r>
    </w:p>
    <w:p>
      <w:pPr/>
    </w:p>
    <w:p>
      <w:pPr/>
      <w:r>
        <w:rPr/>
        <w:t xml:space="preserve">Accessoires:</w:t>
      </w:r>
    </w:p>
    <w:p>
      <w:pPr/>
      <w:r>
        <w:rPr/>
        <w:t xml:space="preserve">Numéro d'article: WKO,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6B1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2026-09-16T17:24:24+02:00</dcterms:created>
  <dcterms:modified xsi:type="dcterms:W3CDTF">2026-09-16T17:24:24+02:00</dcterms:modified>
</cp:coreProperties>
</file>

<file path=docProps/custom.xml><?xml version="1.0" encoding="utf-8"?>
<Properties xmlns="http://schemas.openxmlformats.org/officeDocument/2006/custom-properties" xmlns:vt="http://schemas.openxmlformats.org/officeDocument/2006/docPropsVTypes"/>
</file>