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1,0 W W</w:t>
      </w:r>
    </w:p>
    <w:p>
      <w:pPr/>
      <w:r>
        <w:rPr/>
        <w:t xml:space="preserve">Flux lumineux en mode de secours: 140 lm lm</w:t>
      </w:r>
    </w:p>
    <w:p>
      <w:pPr/>
    </w:p>
    <w:p>
      <w:pPr/>
    </w:p>
    <w:p>
      <w:pPr/>
      <w:r>
        <w:rPr/>
        <w:t xml:space="preserve">Batterie: LFPN3233.01-TT</w:t>
      </w:r>
    </w:p>
    <w:p>
      <w:pPr/>
    </w:p>
    <w:p>
      <w:pPr/>
      <w:r>
        <w:rPr/>
        <w:t xml:space="preserve">Numéro d'article: PXW413DL-TT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2026-09-16T19:24:12+02:00</dcterms:created>
  <dcterms:modified xsi:type="dcterms:W3CDTF">2026-09-16T19:24:12+02:00</dcterms:modified>
</cp:coreProperties>
</file>

<file path=docProps/custom.xml><?xml version="1.0" encoding="utf-8"?>
<Properties xmlns="http://schemas.openxmlformats.org/officeDocument/2006/custom-properties" xmlns:vt="http://schemas.openxmlformats.org/officeDocument/2006/docPropsVTypes"/>
</file>