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KBU421WL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KBK, </w:t>
      </w:r>
    </w:p>
    <w:p>
      <w:pPr/>
      <w:r>
        <w:rPr/>
        <w:t xml:space="preserve">lbl-articleNumber: KBM, </w:t>
      </w:r>
    </w:p>
    <w:p>
      <w:pPr/>
      <w:r>
        <w:rPr/>
        <w:t xml:space="preserve">lbl-articleNumber: KBG,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KBE, </w:t>
      </w:r>
    </w:p>
    <w:p>
      <w:pPr/>
      <w:r>
        <w:rPr/>
        <w:t xml:space="preserve">lbl-articleNumber: BALLPLX-KBE, </w:t>
      </w:r>
    </w:p>
    <w:p>
      <w:pPr/>
      <w:r>
        <w:rPr/>
        <w:t xml:space="preserve">lbl-articleNumber: BALLPLX-KBS, </w:t>
      </w:r>
    </w:p>
    <w:p>
      <w:pPr/>
      <w:r>
        <w:rPr/>
        <w:t xml:space="preserve">lbl-articleNumber: BALLPLX-KBU,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LSYS-H4,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2024-07-08T15:06:43+02:00</dcterms:created>
  <dcterms:modified xsi:type="dcterms:W3CDTF">2024-07-08T15:06:43+02:00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