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</w:t>
      </w:r>
    </w:p>
    <w:p>
      <w:pPr/>
      <w:r>
        <w:rPr/>
        <w:t xml:space="preserve">Color: RAL 9003</w:t>
      </w:r>
    </w:p>
    <w:p>
      <w:pPr/>
      <w:r>
        <w:rPr/>
        <w:t xml:space="preserve">Dimensions: 326 mm x 50 mm x 50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64</w:t>
      </w:r>
    </w:p>
    <w:p>
      <w:pPr/>
      <w:r>
        <w:rPr/>
        <w:t xml:space="preserve">lbl-impactResistanceRate: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14m,22m,30m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LFP3216-SET-2AKKU</w:t>
      </w:r>
    </w:p>
    <w:p>
      <w:pPr/>
    </w:p>
    <w:p>
      <w:pPr/>
      <w:r>
        <w:rPr/>
        <w:t xml:space="preserve">lbl-articleNumber: KBU413WL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KBK, </w:t>
      </w:r>
    </w:p>
    <w:p>
      <w:pPr/>
      <w:r>
        <w:rPr/>
        <w:t xml:space="preserve">lbl-articleNumber: KBM, </w:t>
      </w:r>
    </w:p>
    <w:p>
      <w:pPr/>
      <w:r>
        <w:rPr/>
        <w:t xml:space="preserve">lbl-articleNumber: KBG, </w:t>
      </w:r>
    </w:p>
    <w:p>
      <w:pPr/>
      <w:r>
        <w:rPr/>
        <w:t xml:space="preserve">lbl-articleNumber: AWX001, </w:t>
      </w:r>
    </w:p>
    <w:p>
      <w:pPr/>
      <w:r>
        <w:rPr/>
        <w:t xml:space="preserve">lbl-articleNumber: KBE, </w:t>
      </w:r>
    </w:p>
    <w:p>
      <w:pPr/>
      <w:r>
        <w:rPr/>
        <w:t xml:space="preserve">lbl-articleNumber: BALLPLX-KBE, </w:t>
      </w:r>
    </w:p>
    <w:p>
      <w:pPr/>
      <w:r>
        <w:rPr/>
        <w:t xml:space="preserve">lbl-articleNumber: BALLPLX-KBS, </w:t>
      </w:r>
    </w:p>
    <w:p>
      <w:pPr/>
      <w:r>
        <w:rPr/>
        <w:t xml:space="preserve">lbl-articleNumber: BALLPLX-KBU, 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KBBE</w:t>
      </w:r>
    </w:p>
    <w:p>
      <w:pPr/>
      <w:r>
        <w:rPr/>
        <w:t xml:space="preserve">lbl-articleNumber: DSA,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2024-07-08T19:08:35+02:00</dcterms:created>
  <dcterms:modified xsi:type="dcterms:W3CDTF">2024-07-08T19:08:35+02:00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