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Nødlys i henhold til DIN EN 60598-1, DIN EN 60598-2-22 og DIN EN 1838. </w:t>
      </w:r>
      <w:br/>
      <w:br/>
      <w:r>
        <w:rPr/>
        <w:t xml:space="preserve">Slank, elegant, konveks plastlampe som er vinklet mot betrakteren og smalner symmetrisk nedover. For universell montering (vegg/tak). </w:t>
      </w:r>
      <w:br/>
      <w:r>
        <w:rPr/>
        <w:t xml:space="preserve">Egnet for kontinuerlig eller beredskapsswitching. Planleggingssikkerhet gjennom verktøysfri, variabel bruk av piktogrammer på stedet. </w:t>
      </w:r>
      <w:br/>
      <w:r>
        <w:rPr/>
        <w:t xml:space="preserve">Piktogrammene er i henhold til DIN ISO 7010 (2x mann i døren og to piler) og er  innvendige og løsemiddelfrie.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212 mm x 31 mm x 141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KFMU009ML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8E8F4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2026-09-16T19:21:12+02:00</dcterms:created>
  <dcterms:modified xsi:type="dcterms:W3CDTF">2026-09-16T19:21:12+02:00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