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34 mm x 250 mm x 174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Rozpoznawalność: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Moc w trybie DS: 3,9 W W</w:t>
      </w:r>
    </w:p>
    <w:p>
      <w:pPr/>
      <w:r>
        <w:rPr/>
        <w:t xml:space="preserve">Moc w trybie BS: 1,5 W W</w:t>
      </w:r>
    </w:p>
    <w:p>
      <w:pPr/>
      <w:r>
        <w:rPr/>
        <w:t xml:space="preserve">Strumień świetlny - praca awaryjna: 85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KSU018SC-PL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AWKSU,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BALLPLX-KMU.01, </w:t>
      </w:r>
    </w:p>
    <w:p>
      <w:pPr/>
      <w:r>
        <w:rPr/>
        <w:t xml:space="preserve">Numer artykułu: DSA, </w:t>
      </w:r>
    </w:p>
    <w:p>
      <w:pPr/>
      <w:r>
        <w:rPr/>
        <w:t xml:space="preserve">Numer artykułu: KSE-MB-WS, </w:t>
      </w:r>
    </w:p>
    <w:p>
      <w:pPr/>
      <w:r>
        <w:rPr/>
        <w:t xml:space="preserve">Numer artykułu: KSE-MB-SI,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2026-09-16T16:15:47+02:00</dcterms:created>
  <dcterms:modified xsi:type="dcterms:W3CDTF">2026-09-16T16:15:47+02:00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